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7C" w:rsidRPr="00B1468A" w:rsidRDefault="009D0F8A" w:rsidP="00B1468A">
      <w:pPr>
        <w:spacing w:after="0"/>
        <w:jc w:val="center"/>
        <w:rPr>
          <w:b/>
          <w:sz w:val="28"/>
          <w:szCs w:val="28"/>
        </w:rPr>
      </w:pPr>
      <w:r w:rsidRPr="00B1468A">
        <w:rPr>
          <w:b/>
          <w:sz w:val="28"/>
          <w:szCs w:val="28"/>
        </w:rPr>
        <w:t>ΠΡΟΣ ΤΟ ΝΟΜΙΚΟ ΣΥΜΒΟΥΛΙΟ ΤΟΥ ΚΡΑΤΟΥΣ</w:t>
      </w:r>
    </w:p>
    <w:p w:rsidR="009D0F8A" w:rsidRPr="00B1468A" w:rsidRDefault="009D0F8A" w:rsidP="00B1468A">
      <w:pPr>
        <w:spacing w:after="0"/>
        <w:jc w:val="center"/>
        <w:rPr>
          <w:b/>
          <w:sz w:val="28"/>
          <w:szCs w:val="28"/>
        </w:rPr>
      </w:pPr>
      <w:r w:rsidRPr="00B1468A">
        <w:rPr>
          <w:b/>
          <w:sz w:val="28"/>
          <w:szCs w:val="28"/>
        </w:rPr>
        <w:t>ΑΙΤΗΣΗ-ΟΧΛΗΣΗ ΓΙΑ ΤΗΝ ΑΝΑΓΝΩΡΙΣΗ ΑΠΑΙΤΗΣΗΣ</w:t>
      </w:r>
    </w:p>
    <w:p w:rsidR="009D0F8A" w:rsidRPr="00B1468A" w:rsidRDefault="009D0F8A">
      <w:pPr>
        <w:rPr>
          <w:sz w:val="28"/>
          <w:szCs w:val="28"/>
        </w:rPr>
      </w:pPr>
    </w:p>
    <w:p w:rsidR="009D0F8A" w:rsidRDefault="009D0F8A" w:rsidP="00B1468A">
      <w:pPr>
        <w:ind w:firstLine="720"/>
        <w:rPr>
          <w:sz w:val="28"/>
          <w:szCs w:val="28"/>
        </w:rPr>
      </w:pPr>
      <w:r w:rsidRPr="00B1468A">
        <w:rPr>
          <w:sz w:val="28"/>
          <w:szCs w:val="28"/>
        </w:rPr>
        <w:t>ΗΜΕΡΟΜΗΝΙΑ: 12-6-2015</w:t>
      </w:r>
    </w:p>
    <w:p w:rsidR="00B1468A" w:rsidRPr="00516328" w:rsidRDefault="00B1468A" w:rsidP="00B1468A">
      <w:pPr>
        <w:ind w:firstLine="720"/>
        <w:rPr>
          <w:sz w:val="12"/>
          <w:szCs w:val="12"/>
        </w:rPr>
      </w:pPr>
    </w:p>
    <w:p w:rsidR="00B1468A" w:rsidRDefault="009D0F8A" w:rsidP="00B1468A">
      <w:pPr>
        <w:ind w:firstLine="720"/>
        <w:rPr>
          <w:sz w:val="28"/>
          <w:szCs w:val="28"/>
        </w:rPr>
      </w:pPr>
      <w:r w:rsidRPr="00B1468A">
        <w:rPr>
          <w:sz w:val="28"/>
          <w:szCs w:val="28"/>
        </w:rPr>
        <w:t xml:space="preserve">Με την παρούσα αίτησή μας, οι υπάλληλοι της </w:t>
      </w:r>
      <w:r w:rsidRPr="00B1468A">
        <w:rPr>
          <w:sz w:val="28"/>
          <w:szCs w:val="28"/>
          <w:u w:val="single"/>
        </w:rPr>
        <w:t xml:space="preserve">ΠΕ (Εκπαιδευτικοί)  </w:t>
      </w:r>
      <w:bookmarkStart w:id="0" w:name="_GoBack"/>
      <w:bookmarkEnd w:id="0"/>
      <w:r w:rsidRPr="00B1468A">
        <w:rPr>
          <w:sz w:val="28"/>
          <w:szCs w:val="28"/>
          <w:u w:val="single"/>
        </w:rPr>
        <w:t xml:space="preserve">  </w:t>
      </w:r>
      <w:r w:rsidRPr="00B1468A">
        <w:rPr>
          <w:sz w:val="28"/>
          <w:szCs w:val="28"/>
        </w:rPr>
        <w:t xml:space="preserve">που την υπογράφουμε, ζητάμε να αναγνωριστεί η υποχρέωση του Ελληνικού Δημοσίου  να μας καταβάλλει το ποσό των 2.250, 00 Ευρώ, για το χρονικό διάστημα από 1-5-2013, τα επιδόματα Χριστουγέννων και Πάσχα καθώς και το επίδομα αδείας, που μας οφείλει λόγω του ότι με το άρθρο πρώτο του Ν.4093/2012(ΦΕΚ 222 </w:t>
      </w:r>
      <w:proofErr w:type="spellStart"/>
      <w:r w:rsidRPr="00B1468A">
        <w:rPr>
          <w:sz w:val="28"/>
          <w:szCs w:val="28"/>
        </w:rPr>
        <w:t>τ.Α</w:t>
      </w:r>
      <w:proofErr w:type="spellEnd"/>
      <w:r w:rsidRPr="00B1468A">
        <w:rPr>
          <w:sz w:val="28"/>
          <w:szCs w:val="28"/>
        </w:rPr>
        <w:t>) «Έγκριση Μεσοπρόθεσμου</w:t>
      </w:r>
      <w:r w:rsidR="00B1468A" w:rsidRPr="00B1468A">
        <w:rPr>
          <w:sz w:val="28"/>
          <w:szCs w:val="28"/>
        </w:rPr>
        <w:t xml:space="preserve"> </w:t>
      </w:r>
      <w:r w:rsidRPr="00B1468A">
        <w:rPr>
          <w:sz w:val="28"/>
          <w:szCs w:val="28"/>
        </w:rPr>
        <w:t xml:space="preserve">Πλαισίου Δημοσιονομικής Στρατηγικής 2013-2016», παράγραφος Γ, </w:t>
      </w:r>
      <w:proofErr w:type="spellStart"/>
      <w:r w:rsidRPr="00B1468A">
        <w:rPr>
          <w:sz w:val="28"/>
          <w:szCs w:val="28"/>
        </w:rPr>
        <w:t>υποπαράγραφος</w:t>
      </w:r>
      <w:proofErr w:type="spellEnd"/>
      <w:r w:rsidRPr="00B1468A">
        <w:rPr>
          <w:sz w:val="28"/>
          <w:szCs w:val="28"/>
        </w:rPr>
        <w:t xml:space="preserve"> Γ1, εδάφιο 1, καταργήθηκαν τα παραπάνω επιδόματα που προβλέπονταν από τις διατάξεις του άρθρου 5, του Ν.2592/1998 (ΦΕΚ 57 </w:t>
      </w:r>
      <w:proofErr w:type="spellStart"/>
      <w:r w:rsidRPr="00B1468A">
        <w:rPr>
          <w:sz w:val="28"/>
          <w:szCs w:val="28"/>
        </w:rPr>
        <w:t>τ.Α</w:t>
      </w:r>
      <w:proofErr w:type="spellEnd"/>
      <w:r w:rsidRPr="00B1468A">
        <w:rPr>
          <w:sz w:val="28"/>
          <w:szCs w:val="28"/>
        </w:rPr>
        <w:t xml:space="preserve">),  του άρθρου 9 του Ν.3205/2003 (ΦΕΚ 297 τ. Α) του άρθρου 3 παρ.6 του Ν.3845/2010 (ΦΕΚ 65 </w:t>
      </w:r>
      <w:proofErr w:type="spellStart"/>
      <w:r w:rsidRPr="00B1468A">
        <w:rPr>
          <w:sz w:val="28"/>
          <w:szCs w:val="28"/>
        </w:rPr>
        <w:t>τ.Α</w:t>
      </w:r>
      <w:proofErr w:type="spellEnd"/>
      <w:r w:rsidRPr="00B1468A">
        <w:rPr>
          <w:sz w:val="28"/>
          <w:szCs w:val="28"/>
        </w:rPr>
        <w:t xml:space="preserve">) και του άρθρου 16 του Ν.4024/2011 (ΦΕΚ 226 </w:t>
      </w:r>
      <w:proofErr w:type="spellStart"/>
      <w:r w:rsidRPr="00B1468A">
        <w:rPr>
          <w:sz w:val="28"/>
          <w:szCs w:val="28"/>
        </w:rPr>
        <w:t>τ</w:t>
      </w:r>
      <w:r w:rsidR="00B1468A" w:rsidRPr="00B1468A">
        <w:rPr>
          <w:sz w:val="28"/>
          <w:szCs w:val="28"/>
        </w:rPr>
        <w:t>.Α</w:t>
      </w:r>
      <w:proofErr w:type="spellEnd"/>
      <w:r w:rsidR="00B1468A" w:rsidRPr="00B1468A">
        <w:rPr>
          <w:sz w:val="28"/>
          <w:szCs w:val="28"/>
        </w:rPr>
        <w:t xml:space="preserve">) κατά τρόπο αντίθετο προς τα άρθρα 4 και 32 του Συντάγματος. </w:t>
      </w:r>
    </w:p>
    <w:p w:rsidR="00B1468A" w:rsidRPr="00B1468A" w:rsidRDefault="00B1468A" w:rsidP="00B1468A">
      <w:pPr>
        <w:ind w:firstLine="720"/>
        <w:rPr>
          <w:sz w:val="16"/>
          <w:szCs w:val="16"/>
        </w:rPr>
      </w:pPr>
    </w:p>
    <w:p w:rsidR="00B1468A" w:rsidRPr="00B1468A" w:rsidRDefault="00B1468A" w:rsidP="00B1468A">
      <w:pPr>
        <w:ind w:firstLine="720"/>
        <w:rPr>
          <w:sz w:val="28"/>
          <w:szCs w:val="28"/>
        </w:rPr>
      </w:pPr>
      <w:r w:rsidRPr="00B1468A">
        <w:rPr>
          <w:sz w:val="28"/>
          <w:szCs w:val="28"/>
        </w:rPr>
        <w:t xml:space="preserve">Υπογραμμίζεται, ότι η αίτησή μας έχει θέση όχλησης για κάθε νόμιμη συνέπεια, περιλαμβανομένης και της έναρξης της </w:t>
      </w:r>
      <w:proofErr w:type="spellStart"/>
      <w:r w:rsidRPr="00B1468A">
        <w:rPr>
          <w:sz w:val="28"/>
          <w:szCs w:val="28"/>
        </w:rPr>
        <w:t>τοκοφορίας</w:t>
      </w:r>
      <w:proofErr w:type="spellEnd"/>
      <w:r w:rsidRPr="00B1468A">
        <w:rPr>
          <w:sz w:val="28"/>
          <w:szCs w:val="28"/>
        </w:rPr>
        <w:t xml:space="preserve"> και της διακοπής παραγραφής κατά το άρθρο 93 </w:t>
      </w:r>
      <w:proofErr w:type="spellStart"/>
      <w:r w:rsidRPr="00B1468A">
        <w:rPr>
          <w:sz w:val="28"/>
          <w:szCs w:val="28"/>
        </w:rPr>
        <w:t>περ.γ</w:t>
      </w:r>
      <w:proofErr w:type="spellEnd"/>
      <w:r w:rsidRPr="00B1468A">
        <w:rPr>
          <w:sz w:val="28"/>
          <w:szCs w:val="28"/>
        </w:rPr>
        <w:t xml:space="preserve"> του Ν.2362/1995 (ΦΕΚ 247 </w:t>
      </w:r>
      <w:proofErr w:type="spellStart"/>
      <w:r w:rsidRPr="00B1468A">
        <w:rPr>
          <w:sz w:val="28"/>
          <w:szCs w:val="28"/>
        </w:rPr>
        <w:t>τ.Α</w:t>
      </w:r>
      <w:proofErr w:type="spellEnd"/>
      <w:r w:rsidRPr="00B1468A">
        <w:rPr>
          <w:sz w:val="28"/>
          <w:szCs w:val="28"/>
        </w:rPr>
        <w:t xml:space="preserve">) και το άρθρο 143 </w:t>
      </w:r>
      <w:proofErr w:type="spellStart"/>
      <w:r w:rsidRPr="00B1468A">
        <w:rPr>
          <w:sz w:val="28"/>
          <w:szCs w:val="28"/>
        </w:rPr>
        <w:t>περ.γ</w:t>
      </w:r>
      <w:proofErr w:type="spellEnd"/>
      <w:r w:rsidRPr="00B1468A">
        <w:rPr>
          <w:sz w:val="28"/>
          <w:szCs w:val="28"/>
        </w:rPr>
        <w:t xml:space="preserve"> του Ν.4270/2014 (ΦΕΚ 143 </w:t>
      </w:r>
      <w:proofErr w:type="spellStart"/>
      <w:r w:rsidRPr="00B1468A">
        <w:rPr>
          <w:sz w:val="28"/>
          <w:szCs w:val="28"/>
        </w:rPr>
        <w:t>τ.Α</w:t>
      </w:r>
      <w:proofErr w:type="spellEnd"/>
      <w:r w:rsidRPr="00B1468A">
        <w:rPr>
          <w:sz w:val="28"/>
          <w:szCs w:val="28"/>
        </w:rPr>
        <w:t xml:space="preserve">) όπως ισχύει από 1-1-2015. </w:t>
      </w:r>
    </w:p>
    <w:p w:rsidR="00B1468A" w:rsidRPr="00B1468A" w:rsidRDefault="00B1468A" w:rsidP="00B1468A">
      <w:pPr>
        <w:ind w:left="3600"/>
        <w:rPr>
          <w:sz w:val="28"/>
          <w:szCs w:val="28"/>
        </w:rPr>
      </w:pPr>
      <w:r w:rsidRPr="00B1468A">
        <w:rPr>
          <w:sz w:val="28"/>
          <w:szCs w:val="28"/>
        </w:rPr>
        <w:t xml:space="preserve">ΟΙ ΑΙΤΟΥΝΤΕΣ 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704"/>
        <w:gridCol w:w="3806"/>
        <w:gridCol w:w="2106"/>
        <w:gridCol w:w="2599"/>
      </w:tblGrid>
      <w:tr w:rsidR="00B1468A" w:rsidTr="00516328">
        <w:trPr>
          <w:trHeight w:val="269"/>
        </w:trPr>
        <w:tc>
          <w:tcPr>
            <w:tcW w:w="704" w:type="dxa"/>
          </w:tcPr>
          <w:p w:rsidR="00B1468A" w:rsidRPr="00B1468A" w:rsidRDefault="00B1468A" w:rsidP="00B1468A">
            <w:pPr>
              <w:rPr>
                <w:b/>
                <w:sz w:val="28"/>
                <w:szCs w:val="28"/>
              </w:rPr>
            </w:pPr>
            <w:r w:rsidRPr="00B1468A"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806" w:type="dxa"/>
          </w:tcPr>
          <w:p w:rsidR="00B1468A" w:rsidRPr="00B1468A" w:rsidRDefault="00516328" w:rsidP="00B14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B1468A" w:rsidRPr="00B1468A">
              <w:rPr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2106" w:type="dxa"/>
          </w:tcPr>
          <w:p w:rsidR="00B1468A" w:rsidRPr="00B1468A" w:rsidRDefault="00516328" w:rsidP="00B146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468A" w:rsidRPr="00B1468A"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2599" w:type="dxa"/>
          </w:tcPr>
          <w:p w:rsidR="00B1468A" w:rsidRPr="00B1468A" w:rsidRDefault="00B1468A" w:rsidP="00B1468A">
            <w:pPr>
              <w:rPr>
                <w:b/>
                <w:sz w:val="28"/>
                <w:szCs w:val="28"/>
              </w:rPr>
            </w:pPr>
            <w:r w:rsidRPr="00B1468A">
              <w:rPr>
                <w:b/>
                <w:sz w:val="28"/>
                <w:szCs w:val="28"/>
              </w:rPr>
              <w:t>ΥΠΟΓΡΑΦΗ</w:t>
            </w:r>
          </w:p>
        </w:tc>
      </w:tr>
      <w:tr w:rsidR="00B1468A" w:rsidTr="00516328">
        <w:trPr>
          <w:trHeight w:val="269"/>
        </w:trPr>
        <w:tc>
          <w:tcPr>
            <w:tcW w:w="704" w:type="dxa"/>
          </w:tcPr>
          <w:p w:rsidR="00B1468A" w:rsidRDefault="00B1468A" w:rsidP="00B1468A"/>
          <w:p w:rsidR="00B1468A" w:rsidRDefault="00B1468A" w:rsidP="00B1468A"/>
        </w:tc>
        <w:tc>
          <w:tcPr>
            <w:tcW w:w="3806" w:type="dxa"/>
          </w:tcPr>
          <w:p w:rsidR="00B1468A" w:rsidRDefault="00B1468A" w:rsidP="00B1468A"/>
        </w:tc>
        <w:tc>
          <w:tcPr>
            <w:tcW w:w="2106" w:type="dxa"/>
          </w:tcPr>
          <w:p w:rsidR="00B1468A" w:rsidRDefault="00B1468A" w:rsidP="00B1468A"/>
        </w:tc>
        <w:tc>
          <w:tcPr>
            <w:tcW w:w="2599" w:type="dxa"/>
          </w:tcPr>
          <w:p w:rsidR="00B1468A" w:rsidRDefault="00B1468A" w:rsidP="00B1468A"/>
        </w:tc>
      </w:tr>
      <w:tr w:rsidR="00B1468A" w:rsidTr="00516328">
        <w:trPr>
          <w:trHeight w:val="269"/>
        </w:trPr>
        <w:tc>
          <w:tcPr>
            <w:tcW w:w="704" w:type="dxa"/>
          </w:tcPr>
          <w:p w:rsidR="00B1468A" w:rsidRDefault="00B1468A" w:rsidP="00B1468A"/>
          <w:p w:rsidR="00B1468A" w:rsidRDefault="00B1468A" w:rsidP="00B1468A"/>
        </w:tc>
        <w:tc>
          <w:tcPr>
            <w:tcW w:w="3806" w:type="dxa"/>
          </w:tcPr>
          <w:p w:rsidR="00B1468A" w:rsidRDefault="00B1468A" w:rsidP="00B1468A"/>
        </w:tc>
        <w:tc>
          <w:tcPr>
            <w:tcW w:w="2106" w:type="dxa"/>
          </w:tcPr>
          <w:p w:rsidR="00B1468A" w:rsidRDefault="00B1468A" w:rsidP="00B1468A"/>
        </w:tc>
        <w:tc>
          <w:tcPr>
            <w:tcW w:w="2599" w:type="dxa"/>
          </w:tcPr>
          <w:p w:rsidR="00B1468A" w:rsidRDefault="00B1468A" w:rsidP="00B1468A"/>
        </w:tc>
      </w:tr>
      <w:tr w:rsidR="00B1468A" w:rsidTr="00516328">
        <w:trPr>
          <w:trHeight w:val="269"/>
        </w:trPr>
        <w:tc>
          <w:tcPr>
            <w:tcW w:w="704" w:type="dxa"/>
          </w:tcPr>
          <w:p w:rsidR="00B1468A" w:rsidRDefault="00B1468A" w:rsidP="00B1468A"/>
          <w:p w:rsidR="00B1468A" w:rsidRDefault="00B1468A" w:rsidP="00B1468A"/>
        </w:tc>
        <w:tc>
          <w:tcPr>
            <w:tcW w:w="3806" w:type="dxa"/>
          </w:tcPr>
          <w:p w:rsidR="00B1468A" w:rsidRDefault="00B1468A" w:rsidP="00B1468A"/>
        </w:tc>
        <w:tc>
          <w:tcPr>
            <w:tcW w:w="2106" w:type="dxa"/>
          </w:tcPr>
          <w:p w:rsidR="00B1468A" w:rsidRDefault="00B1468A" w:rsidP="00B1468A"/>
        </w:tc>
        <w:tc>
          <w:tcPr>
            <w:tcW w:w="2599" w:type="dxa"/>
          </w:tcPr>
          <w:p w:rsidR="00B1468A" w:rsidRDefault="00B1468A" w:rsidP="00B1468A"/>
        </w:tc>
      </w:tr>
      <w:tr w:rsidR="00B1468A" w:rsidTr="00516328">
        <w:trPr>
          <w:trHeight w:val="269"/>
        </w:trPr>
        <w:tc>
          <w:tcPr>
            <w:tcW w:w="704" w:type="dxa"/>
          </w:tcPr>
          <w:p w:rsidR="00B1468A" w:rsidRDefault="00B1468A" w:rsidP="00B1468A"/>
          <w:p w:rsidR="00B1468A" w:rsidRDefault="00B1468A" w:rsidP="00B1468A"/>
        </w:tc>
        <w:tc>
          <w:tcPr>
            <w:tcW w:w="3806" w:type="dxa"/>
          </w:tcPr>
          <w:p w:rsidR="00B1468A" w:rsidRDefault="00B1468A" w:rsidP="00B1468A"/>
        </w:tc>
        <w:tc>
          <w:tcPr>
            <w:tcW w:w="2106" w:type="dxa"/>
          </w:tcPr>
          <w:p w:rsidR="00B1468A" w:rsidRDefault="00B1468A" w:rsidP="00B1468A"/>
        </w:tc>
        <w:tc>
          <w:tcPr>
            <w:tcW w:w="2599" w:type="dxa"/>
          </w:tcPr>
          <w:p w:rsidR="00B1468A" w:rsidRDefault="00B1468A" w:rsidP="00B1468A"/>
        </w:tc>
      </w:tr>
      <w:tr w:rsidR="00B1468A" w:rsidTr="00516328">
        <w:trPr>
          <w:trHeight w:val="269"/>
        </w:trPr>
        <w:tc>
          <w:tcPr>
            <w:tcW w:w="704" w:type="dxa"/>
          </w:tcPr>
          <w:p w:rsidR="00B1468A" w:rsidRDefault="00B1468A" w:rsidP="00B1468A"/>
          <w:p w:rsidR="00B1468A" w:rsidRDefault="00B1468A" w:rsidP="00B1468A"/>
        </w:tc>
        <w:tc>
          <w:tcPr>
            <w:tcW w:w="3806" w:type="dxa"/>
          </w:tcPr>
          <w:p w:rsidR="00B1468A" w:rsidRDefault="00B1468A" w:rsidP="00B1468A"/>
        </w:tc>
        <w:tc>
          <w:tcPr>
            <w:tcW w:w="2106" w:type="dxa"/>
          </w:tcPr>
          <w:p w:rsidR="00B1468A" w:rsidRDefault="00B1468A" w:rsidP="00B1468A"/>
        </w:tc>
        <w:tc>
          <w:tcPr>
            <w:tcW w:w="2599" w:type="dxa"/>
          </w:tcPr>
          <w:p w:rsidR="00B1468A" w:rsidRDefault="00B1468A" w:rsidP="00B1468A"/>
        </w:tc>
      </w:tr>
      <w:tr w:rsidR="00B1468A" w:rsidTr="00516328">
        <w:trPr>
          <w:trHeight w:val="269"/>
        </w:trPr>
        <w:tc>
          <w:tcPr>
            <w:tcW w:w="704" w:type="dxa"/>
          </w:tcPr>
          <w:p w:rsidR="00B1468A" w:rsidRDefault="00B1468A" w:rsidP="00B1468A"/>
          <w:p w:rsidR="00B1468A" w:rsidRDefault="00B1468A" w:rsidP="00B1468A"/>
        </w:tc>
        <w:tc>
          <w:tcPr>
            <w:tcW w:w="3806" w:type="dxa"/>
          </w:tcPr>
          <w:p w:rsidR="00B1468A" w:rsidRDefault="00B1468A" w:rsidP="00B1468A"/>
        </w:tc>
        <w:tc>
          <w:tcPr>
            <w:tcW w:w="2106" w:type="dxa"/>
          </w:tcPr>
          <w:p w:rsidR="00B1468A" w:rsidRDefault="00B1468A" w:rsidP="00B1468A"/>
        </w:tc>
        <w:tc>
          <w:tcPr>
            <w:tcW w:w="2599" w:type="dxa"/>
          </w:tcPr>
          <w:p w:rsidR="00B1468A" w:rsidRDefault="00B1468A" w:rsidP="00B1468A"/>
        </w:tc>
      </w:tr>
      <w:tr w:rsidR="00B1468A" w:rsidTr="00516328">
        <w:trPr>
          <w:trHeight w:val="269"/>
        </w:trPr>
        <w:tc>
          <w:tcPr>
            <w:tcW w:w="704" w:type="dxa"/>
          </w:tcPr>
          <w:p w:rsidR="00B1468A" w:rsidRDefault="00B1468A" w:rsidP="00B1468A"/>
          <w:p w:rsidR="00B1468A" w:rsidRDefault="00B1468A" w:rsidP="00B1468A"/>
        </w:tc>
        <w:tc>
          <w:tcPr>
            <w:tcW w:w="3806" w:type="dxa"/>
          </w:tcPr>
          <w:p w:rsidR="00B1468A" w:rsidRDefault="00B1468A" w:rsidP="00B1468A"/>
        </w:tc>
        <w:tc>
          <w:tcPr>
            <w:tcW w:w="2106" w:type="dxa"/>
          </w:tcPr>
          <w:p w:rsidR="00B1468A" w:rsidRDefault="00B1468A" w:rsidP="00B1468A"/>
        </w:tc>
        <w:tc>
          <w:tcPr>
            <w:tcW w:w="2599" w:type="dxa"/>
          </w:tcPr>
          <w:p w:rsidR="00B1468A" w:rsidRDefault="00B1468A" w:rsidP="00B1468A"/>
        </w:tc>
      </w:tr>
      <w:tr w:rsidR="00B1468A" w:rsidTr="00516328">
        <w:trPr>
          <w:trHeight w:val="269"/>
        </w:trPr>
        <w:tc>
          <w:tcPr>
            <w:tcW w:w="704" w:type="dxa"/>
          </w:tcPr>
          <w:p w:rsidR="00B1468A" w:rsidRDefault="00B1468A" w:rsidP="00B1468A"/>
          <w:p w:rsidR="00B1468A" w:rsidRDefault="00B1468A" w:rsidP="00B1468A"/>
        </w:tc>
        <w:tc>
          <w:tcPr>
            <w:tcW w:w="3806" w:type="dxa"/>
          </w:tcPr>
          <w:p w:rsidR="00B1468A" w:rsidRDefault="00B1468A" w:rsidP="00B1468A"/>
        </w:tc>
        <w:tc>
          <w:tcPr>
            <w:tcW w:w="2106" w:type="dxa"/>
          </w:tcPr>
          <w:p w:rsidR="00B1468A" w:rsidRDefault="00B1468A" w:rsidP="00B1468A"/>
        </w:tc>
        <w:tc>
          <w:tcPr>
            <w:tcW w:w="2599" w:type="dxa"/>
          </w:tcPr>
          <w:p w:rsidR="00B1468A" w:rsidRDefault="00B1468A" w:rsidP="00B1468A"/>
        </w:tc>
      </w:tr>
    </w:tbl>
    <w:p w:rsidR="00B1468A" w:rsidRPr="009D0F8A" w:rsidRDefault="00B1468A" w:rsidP="00B1468A">
      <w:pPr>
        <w:ind w:firstLine="720"/>
      </w:pPr>
    </w:p>
    <w:sectPr w:rsidR="00B1468A" w:rsidRPr="009D0F8A" w:rsidSect="00B1468A">
      <w:pgSz w:w="11906" w:h="16838"/>
      <w:pgMar w:top="1440" w:right="141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8A"/>
    <w:rsid w:val="000A497C"/>
    <w:rsid w:val="00516328"/>
    <w:rsid w:val="009D0F8A"/>
    <w:rsid w:val="00B1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1580-D4B6-481F-A041-D193CFC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6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2015-06-11T19:49:00Z</cp:lastPrinted>
  <dcterms:created xsi:type="dcterms:W3CDTF">2015-06-11T19:24:00Z</dcterms:created>
  <dcterms:modified xsi:type="dcterms:W3CDTF">2015-06-11T19:50:00Z</dcterms:modified>
</cp:coreProperties>
</file>